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343"/>
        </w:tabs>
        <w:jc w:val="both"/>
        <w:rPr>
          <w:rFonts w:ascii="Open Sans" w:cs="Open Sans" w:eastAsia="Open Sans" w:hAnsi="Open Sans"/>
          <w:sz w:val="20"/>
          <w:szCs w:val="20"/>
        </w:rPr>
      </w:pPr>
      <w:r w:rsidDel="00000000" w:rsidR="00000000" w:rsidRPr="00000000">
        <w:rPr>
          <w:rtl w:val="0"/>
        </w:rPr>
        <w:tab/>
      </w:r>
      <w:r w:rsidDel="00000000" w:rsidR="00000000" w:rsidRPr="00000000">
        <w:rPr>
          <w:rtl w:val="0"/>
        </w:rPr>
      </w:r>
    </w:p>
    <w:p w:rsidR="00000000" w:rsidDel="00000000" w:rsidP="00000000" w:rsidRDefault="00000000" w:rsidRPr="00000000" w14:paraId="00000002">
      <w:pPr>
        <w:spacing w:after="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Kassel, im Februar 2024</w:t>
      </w:r>
    </w:p>
    <w:p w:rsidR="00000000" w:rsidDel="00000000" w:rsidP="00000000" w:rsidRDefault="00000000" w:rsidRPr="00000000" w14:paraId="00000003">
      <w:pPr>
        <w:spacing w:after="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after="0" w:lineRule="auto"/>
        <w:rPr>
          <w:rFonts w:ascii="Open Sans" w:cs="Open Sans" w:eastAsia="Open Sans" w:hAnsi="Open Sans"/>
          <w:b w:val="1"/>
          <w:sz w:val="26"/>
          <w:szCs w:val="26"/>
        </w:rPr>
      </w:pPr>
      <w:r w:rsidDel="00000000" w:rsidR="00000000" w:rsidRPr="00000000">
        <w:rPr>
          <w:rFonts w:ascii="Open Sans" w:cs="Open Sans" w:eastAsia="Open Sans" w:hAnsi="Open Sans"/>
          <w:b w:val="1"/>
          <w:sz w:val="26"/>
          <w:szCs w:val="26"/>
          <w:rtl w:val="0"/>
        </w:rPr>
        <w:t xml:space="preserve">Informationsschreiben zur Reinigung der Schulen im Landkreis Kassel</w:t>
      </w:r>
    </w:p>
    <w:p w:rsidR="00000000" w:rsidDel="00000000" w:rsidP="00000000" w:rsidRDefault="00000000" w:rsidRPr="00000000" w14:paraId="00000005">
      <w:pPr>
        <w:spacing w:after="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6">
      <w:pPr>
        <w:spacing w:after="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Was hat sich ab 01.01.2024 geändert?</w:t>
      </w:r>
    </w:p>
    <w:p w:rsidR="00000000" w:rsidDel="00000000" w:rsidP="00000000" w:rsidRDefault="00000000" w:rsidRPr="00000000" w14:paraId="00000007">
      <w:pPr>
        <w:spacing w:after="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Wie Sie der u. g. Tabelle entnehmen können werden die Klassenräume nur noch jeden zweiten Tag gereinigt. Das heißt im wöchentlichen Wechsel montags, mittwochs, freitags bzw. dienstags und donnerstags.</w:t>
      </w:r>
    </w:p>
    <w:p w:rsidR="00000000" w:rsidDel="00000000" w:rsidP="00000000" w:rsidRDefault="00000000" w:rsidRPr="00000000" w14:paraId="00000008">
      <w:pPr>
        <w:spacing w:after="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Außerdem werden Büros nur noch zwei Mal in der Woche gereinigt.</w:t>
      </w:r>
    </w:p>
    <w:p w:rsidR="00000000" w:rsidDel="00000000" w:rsidP="00000000" w:rsidRDefault="00000000" w:rsidRPr="00000000" w14:paraId="00000009">
      <w:pPr>
        <w:spacing w:after="0" w:lineRule="auto"/>
        <w:rPr>
          <w:rFonts w:ascii="Open Sans" w:cs="Open Sans" w:eastAsia="Open Sans" w:hAnsi="Open Sans"/>
          <w:sz w:val="20"/>
          <w:szCs w:val="20"/>
        </w:rPr>
      </w:pPr>
      <w:r w:rsidDel="00000000" w:rsidR="00000000" w:rsidRPr="00000000">
        <w:rPr>
          <w:rtl w:val="0"/>
        </w:rPr>
      </w:r>
    </w:p>
    <w:tbl>
      <w:tblPr>
        <w:tblStyle w:val="Table1"/>
        <w:tblW w:w="9634.0" w:type="dxa"/>
        <w:jc w:val="left"/>
        <w:tblLayout w:type="fixed"/>
        <w:tblLook w:val="0400"/>
      </w:tblPr>
      <w:tblGrid>
        <w:gridCol w:w="2265"/>
        <w:gridCol w:w="3684"/>
        <w:gridCol w:w="3685"/>
        <w:tblGridChange w:id="0">
          <w:tblGrid>
            <w:gridCol w:w="2265"/>
            <w:gridCol w:w="3684"/>
            <w:gridCol w:w="36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A">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Raumgruppe</w:t>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B">
            <w:pPr>
              <w:spacing w:after="0" w:line="240"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Reinigung pro Woche</w:t>
            </w:r>
          </w:p>
          <w:p w:rsidR="00000000" w:rsidDel="00000000" w:rsidP="00000000" w:rsidRDefault="00000000" w:rsidRPr="00000000" w14:paraId="0000000C">
            <w:pPr>
              <w:spacing w:after="0" w:line="240"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ALT</w:t>
            </w:r>
          </w:p>
        </w:tc>
        <w:tc>
          <w:tcPr>
            <w:tcBorders>
              <w:top w:color="000000" w:space="0" w:sz="8" w:val="single"/>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D">
            <w:pPr>
              <w:spacing w:after="0" w:line="240"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Reinigung pro Woche</w:t>
            </w:r>
          </w:p>
          <w:p w:rsidR="00000000" w:rsidDel="00000000" w:rsidP="00000000" w:rsidRDefault="00000000" w:rsidRPr="00000000" w14:paraId="0000000E">
            <w:pPr>
              <w:spacing w:after="0" w:line="240"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NEU</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0F">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Klassenräume, Fachräume</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0">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1">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2">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Büros</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3">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2,5</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4">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5">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Flure, Hallen, Mensen, Küchen</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6">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7">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8">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Treppenhäuser</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9">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A">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B">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Sanitäre Anlagen, Umkleiden u. ä.</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C">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D">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E">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Sportfelder</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1F">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20">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w:t>
            </w:r>
          </w:p>
        </w:tc>
      </w:tr>
      <w:tr>
        <w:trPr>
          <w:cantSplit w:val="0"/>
          <w:tblHeader w:val="0"/>
        </w:trPr>
        <w:tc>
          <w:tcPr>
            <w:tcBorders>
              <w:top w:color="000000" w:space="0" w:sz="0" w:val="nil"/>
              <w:left w:color="000000" w:space="0" w:sz="8" w:val="single"/>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21">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Abstell- /Lagerräume</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22">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1/26 (einmal im halben Jahr)</w:t>
            </w:r>
          </w:p>
        </w:tc>
        <w:tc>
          <w:tcPr>
            <w:tcBorders>
              <w:top w:color="000000" w:space="0" w:sz="0" w:val="nil"/>
              <w:left w:color="000000" w:space="0" w:sz="0" w:val="nil"/>
              <w:bottom w:color="000000" w:space="0" w:sz="8" w:val="single"/>
              <w:right w:color="000000" w:space="0" w:sz="8" w:val="single"/>
            </w:tcBorders>
            <w:shd w:fill="auto" w:val="clear"/>
            <w:tcMar>
              <w:top w:w="0.0" w:type="dxa"/>
              <w:left w:w="108.0" w:type="dxa"/>
              <w:bottom w:w="0.0" w:type="dxa"/>
              <w:right w:w="108.0" w:type="dxa"/>
            </w:tcMar>
          </w:tcPr>
          <w:p w:rsidR="00000000" w:rsidDel="00000000" w:rsidP="00000000" w:rsidRDefault="00000000" w:rsidRPr="00000000" w14:paraId="00000023">
            <w:pPr>
              <w:spacing w:after="0" w:line="240" w:lineRule="auto"/>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1/26 (einmal im halben Jahr)</w:t>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Warum musste diese Änderung erfolgen?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Um die zukünftigen Anforderungen erfüllen zu können und damit auch Arbeitsplätze zu sichern, musste der große Arbeitsbereich der Reinigung neu aufgestellt und insgesamt wirtschaftlicher und nachhaltiger werden. Zudem wird es immer schwieriger auch für den Reinigungsbereich geeignetes Fachpersonal zu finden und der natürlichen Fluktuation entgegenzuwirken.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Zur Beurteilung der Reinigungssituation bzw. zum Neuaufbau des Reinigungsbereichs wurden Informationen der Kommunalen Gemeinschafsstelle für Verwaltungsmanagement (KGSt) sowie seit Januar 2023 die Beratungsleistung eines professionellen Reinigungsunternehmens herangezogen bzw. in Anspruch genommen.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Die Änderung der Reinigungshäufigkeit basiert auf einem offiziellen landesweiten Vergleich. Die DIN 77400 findet auch mit genannter Änderung weiterhin Berücksichtigung.  Der landesweite Vergleich berücksichtigt ein kommunales Reinigungsportfolio von 5.875 Gebäuden mit ca. 1,43 Milliarden m² Jahresreinigungsflächen. Die Änderung der Reinigungshäufigkeit bezieht sich auf die statistischen Werte in der Mitte der Vergleichskommunen.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Wie wird ein Klassenraum/Fachraum gereinigt?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Die Fußböden werden dem Belag entsprechend gesaugt, gekehrt bzw. feucht/nass gereinigt. Die Schüler- und Lehrertische werden feucht gereinigt. Handwaschbecken (soweit vorhanden) werden inkl. Unterseite gereinigt (einschl. der Reinigung der Armaturen, des Fliesenspiegels, des Siphons und des Spiegels). Sämtliche Abfallbehälter werden entleert und gereinigt.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Einmal jährlich findet eine Grundreinigung der Schulen statt.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Warum werden Waschbecken in Klassenräumen nicht mehr mit Seife und Handtuchpapier bestückt?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Eine Ausstattung der Klassenräume mit Seife und Papier wurde während der Corona-Pandemie vorgenommen. Aktuell werden die Mittel wieder auf das ursprüngliche Niveau angepasst; Altbestände können noch aufgebraucht werden. Seife und Papier werden wie vor Pandemiezeiten in den Schultoiletten vorgehalten.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Die vorhandenen Waschbecken sollen in den Klassenräumen nur für das Wischen der Tafeln genutzt werden. Sollten Klassenräume z. B. auch für Kunstunterricht genutzt werden, können für das Säubern der Tische Reinigungsmittel (Eimer, Microfasertücher etc.) zur Verfügung gestellt werden.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Sind weitere Anpassungen geplant?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 wird sukzessive in einen angemessenen Maschinenpark und modernes Reinigungsequipment investiert, um im Raumpflegebereich nicht nur den Anforderungen des Arbeits- und Gesundheitsschutzes zu entsprechen, sondern auch effizienter und ressourcenorientierter zu arbeiten.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 absehbarer Zeit wird bei der Bodenreinigung ein Mischreinigungsverfahren zwischen Feucht- und Trockenreinigung eingeführt. Dieser Methoden-Mix ist unter Beibehaltung hygienischer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Standards deutlich ressourcenschonender und wirtschaftlicher. Außerdem erleichtert diese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Form der Reinigung das Arbeiten der Reinigungskräfte.</w:t>
      </w:r>
    </w:p>
    <w:sectPr>
      <w:headerReference r:id="rId6" w:type="default"/>
      <w:footerReference r:id="rId7"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Seite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von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Pr>
      <w:drawing>
        <wp:inline distB="0" distT="0" distL="0" distR="0">
          <wp:extent cx="1706193" cy="829607"/>
          <wp:effectExtent b="0" l="0" r="0" t="0"/>
          <wp:docPr descr="http://intranet/fileadmin/corporate-identity/landkreis_kassel-logo_2023-02_rgb.jpg" id="2" name="image2.png"/>
          <a:graphic>
            <a:graphicData uri="http://schemas.openxmlformats.org/drawingml/2006/picture">
              <pic:pic>
                <pic:nvPicPr>
                  <pic:cNvPr descr="http://intranet/fileadmin/corporate-identity/landkreis_kassel-logo_2023-02_rgb.jpg" id="0" name="image2.png"/>
                  <pic:cNvPicPr preferRelativeResize="0"/>
                </pic:nvPicPr>
                <pic:blipFill>
                  <a:blip r:embed="rId1"/>
                  <a:srcRect b="0" l="0" r="0" t="0"/>
                  <a:stretch>
                    <a:fillRect/>
                  </a:stretch>
                </pic:blipFill>
                <pic:spPr>
                  <a:xfrm>
                    <a:off x="0" y="0"/>
                    <a:ext cx="1706193" cy="829607"/>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-85724</wp:posOffset>
              </wp:positionH>
              <wp:positionV relativeFrom="paragraph">
                <wp:posOffset>217170</wp:posOffset>
              </wp:positionV>
              <wp:extent cx="4087116" cy="685800"/>
              <wp:effectExtent b="0" l="0" r="8890" t="0"/>
              <wp:wrapNone/>
              <wp:docPr id="1" name=""/>
              <a:graphic>
                <a:graphicData uri="http://schemas.microsoft.com/office/word/2010/wordprocessingShape">
                  <wps:wsp>
                    <wps:cNvSpPr txBox="1">
                      <a:spLocks/>
                    </wps:cNvSpPr>
                    <wps:spPr>
                      <a:xfrm>
                        <a:off x="0" y="0"/>
                        <a:ext cx="4087116" cy="685800"/>
                      </a:xfrm>
                      <a:prstGeom prst="rect">
                        <a:avLst/>
                      </a:prstGeom>
                      <a:solidFill>
                        <a:sysClr lastClr="FFFFFF" val="window"/>
                      </a:solidFill>
                      <a:ln cap="flat" w="6350">
                        <a:noFill/>
                      </a:ln>
                    </wps:spPr>
                    <wps:txbx>
                      <w:txbxContent>
                        <w:p w:rsidR="00000000" w:rsidDel="00000000" w:rsidP="00000000" w:rsidRDefault="00000000" w:rsidRPr="00000000">
                          <w:pPr>
                            <w:spacing w:after="0" w:line="276" w:lineRule="auto"/>
                            <w:rPr>
                              <w:rFonts w:ascii="Open Sans" w:cs="Open Sans" w:hAnsi="Open Sans"/>
                              <w:b w:val="1"/>
                              <w:color w:val="005aaa"/>
                              <w:sz w:val="6"/>
                              <w:szCs w:val="6"/>
                            </w:rPr>
                          </w:pPr>
                        </w:p>
                        <w:p w:rsidR="00000000" w:rsidDel="00000000" w:rsidP="00000000" w:rsidRDefault="00000000" w:rsidRPr="00000000">
                          <w:pPr>
                            <w:spacing w:after="0" w:line="300" w:lineRule="atLeast"/>
                            <w:rPr>
                              <w:rFonts w:ascii="Open Sans" w:cs="Open Sans" w:hAnsi="Open Sans"/>
                              <w:sz w:val="20"/>
                              <w:szCs w:val="20"/>
                            </w:rPr>
                          </w:pPr>
                          <w:r w:rsidDel="00000000" w:rsidR="00000000" w:rsidRPr="00000000">
                            <w:rPr>
                              <w:rFonts w:ascii="Open Sans" w:cs="Open Sans" w:hAnsi="Open Sans"/>
                              <w:sz w:val="20"/>
                              <w:szCs w:val="20"/>
                            </w:rPr>
                            <w:t>Fachbereich 23 - Immobilienmanagement</w:t>
                          </w:r>
                        </w:p>
                        <w:p w:rsidR="00000000" w:rsidDel="00000000" w:rsidP="00000000" w:rsidRDefault="00000000" w:rsidRPr="00000000">
                          <w:pPr>
                            <w:spacing w:after="0" w:line="300" w:lineRule="atLeast"/>
                            <w:rPr>
                              <w:rFonts w:ascii="Open Sans" w:cs="Open Sans" w:hAnsi="Open Sans"/>
                              <w:sz w:val="20"/>
                              <w:szCs w:val="20"/>
                            </w:rPr>
                          </w:pPr>
                          <w:r w:rsidDel="00000000" w:rsidR="00000000" w:rsidRPr="00000000">
                            <w:rPr>
                              <w:rFonts w:ascii="Open Sans" w:cs="Open Sans" w:hAnsi="Open Sans"/>
                              <w:sz w:val="20"/>
                              <w:szCs w:val="20"/>
                            </w:rPr>
                            <w:t>Fachdienst Infrastrukturelles Immobilienmanagement</w:t>
                          </w:r>
                        </w:p>
                      </w:txbxContent>
                    </wps:txbx>
                    <wps:bodyPr anchorCtr="0" anchor="t" bIns="45720" rtlCol="0" compatLnSpc="0"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-85724</wp:posOffset>
              </wp:positionH>
              <wp:positionV relativeFrom="paragraph">
                <wp:posOffset>217170</wp:posOffset>
              </wp:positionV>
              <wp:extent cx="4096006" cy="685800"/>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4096006" cy="685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